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Новосибирской области от 28.04.2018 N 170-п</w:t>
              <w:br/>
              <w:t xml:space="preserve">(ред. от 29.03.2021)</w:t>
              <w:br/>
              <w:t xml:space="preserve">"Об утверждении Порядка проведения антикоррупционного мониторинга"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24.04.2024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НОВОСИБИРСКОЙ ОБЛАСТИ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28 апреля 2018 г. N 170-п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ПОРЯДКА ПРОВЕДЕНИЯ</w:t>
      </w:r>
    </w:p>
    <w:p>
      <w:pPr>
        <w:pStyle w:val="2"/>
        <w:jc w:val="center"/>
      </w:pPr>
      <w:r>
        <w:rPr>
          <w:sz w:val="20"/>
        </w:rPr>
        <w:t xml:space="preserve">АНТИКОРРУПЦИОННОГО МОНИТОРИНГА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7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29.03.2021 N 100-п)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8" w:tooltip="Закон Новосибирской области от 27.04.2010 N 486-ОЗ (ред. от 06.05.2022) &quot;О регулировании отношений в сфере противодействия коррупции в Новосибирской области&quot; (принят постановлением Новосибирского областного Совета депутатов от 22.04.2010 N 486-ОСД) {КонсультантПлюс}">
        <w:r>
          <w:rPr>
            <w:sz w:val="20"/>
            <w:color w:val="0000ff"/>
          </w:rPr>
          <w:t xml:space="preserve">пунктом 4 статьи 5</w:t>
        </w:r>
      </w:hyperlink>
      <w:r>
        <w:rPr>
          <w:sz w:val="20"/>
        </w:rPr>
        <w:t xml:space="preserve"> Закона Новосибирской области от 27.04.2010 N 486-ОЗ "О регулировании отношений в сфере противодействия коррупции в Новосибирской области" Правительство Новосибирской области постановляет: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прилагаемый </w:t>
      </w:r>
      <w:hyperlink w:history="0" w:anchor="P44" w:tooltip="ПОРЯДОК">
        <w:r>
          <w:rPr>
            <w:sz w:val="20"/>
            <w:color w:val="0000ff"/>
          </w:rPr>
          <w:t xml:space="preserve">Порядок</w:t>
        </w:r>
      </w:hyperlink>
      <w:r>
        <w:rPr>
          <w:sz w:val="20"/>
        </w:rPr>
        <w:t xml:space="preserve"> проведения антикоррупционного мониторинга.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Органу Новосибирской области по профилактике коррупционных и иных правонарушений обеспечить: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9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29.03.2021 N 100-п)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координацию проведения антикоррупционного мониторинга;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сбор, анализ и обобщение сведений о ходе реализации мер по противодействию коррупции в органах государственной власти Новосибирской области, государственных органах Новосибирской области, представленных в соответствии с прилагаемым Порядком проведения антикоррупционного мониторинга, а также сведений о ходе реализации мер по противодействию коррупции в органах местного самоуправления муниципальных образований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размещение сведений о ходе реализации мер по противодействию коррупции в органах государственной власти Новосибирской области, государственных органах Новосибирской области, органах местного самоуправления муниципальных образований Новосибирской области на официальном сайте Губернатора Новосибирской области и Правительства Новосибирской области в информационно-телекоммуникационной сети "Интернет".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Рекомендовать главам муниципальных образований Новосибирской области: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организовать проведение антикоррупционного мониторинга в органах местного самоуправления муниципальных образований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представлять сведения о ходе реализации мер по противодействию коррупции в органах местного самоуправления муниципальных образований Новосибирской области в орган Новосибирской области по профилактике коррупционных и иных правонарушений по запросу органа Новосибирской области по профилактике коррупционных и иных правонарушений.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0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29.03.2021 N 100-п)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Признать утратившими силу:</w:t>
      </w:r>
    </w:p>
    <w:p>
      <w:pPr>
        <w:pStyle w:val="0"/>
        <w:spacing w:before="200" w:line-rule="auto"/>
        <w:ind w:firstLine="540"/>
        <w:jc w:val="both"/>
      </w:pPr>
      <w:hyperlink w:history="0" r:id="rId11" w:tooltip="Постановление Правительства Новосибирской области от 20.10.2011 N 458-п (ред. от 15.12.2014) &quot;Об утверждении Порядка проведения антикоррупционного мониторинга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20.10.2011 N 458-п "Об утверждении порядка проведения антикоррупционного мониторинга";</w:t>
      </w:r>
    </w:p>
    <w:p>
      <w:pPr>
        <w:pStyle w:val="0"/>
        <w:spacing w:before="200" w:line-rule="auto"/>
        <w:ind w:firstLine="540"/>
        <w:jc w:val="both"/>
      </w:pPr>
      <w:hyperlink w:history="0" r:id="rId12" w:tooltip="Постановление Правительства Новосибирской области от 18.06.2012 N 299-п &quot;О внесении изменений в постановление Правительства Новосибирской области от 20.10.2011 N 458-п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18.06.2012 N 299-п "О внесении изменений в постановление Правительства Новосибирской области от 20.10.2011 N 458-п";</w:t>
      </w:r>
    </w:p>
    <w:p>
      <w:pPr>
        <w:pStyle w:val="0"/>
        <w:spacing w:before="200" w:line-rule="auto"/>
        <w:ind w:firstLine="540"/>
        <w:jc w:val="both"/>
      </w:pPr>
      <w:hyperlink w:history="0" r:id="rId13" w:tooltip="Постановление Правительства Новосибирской области от 18.06.2013 N 269-п &quot;О внесении изменений в постановление Правительства Новосибирской области от 20.10.2011 N 458-п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18.06.2013 N 269-п "О внесении изменений в постановление Правительства Новосибирской области от 20.10.2011 N 458-п";</w:t>
      </w:r>
    </w:p>
    <w:p>
      <w:pPr>
        <w:pStyle w:val="0"/>
        <w:spacing w:before="200" w:line-rule="auto"/>
        <w:ind w:firstLine="540"/>
        <w:jc w:val="both"/>
      </w:pPr>
      <w:hyperlink w:history="0" r:id="rId14" w:tooltip="Постановление Правительства Новосибирской области от 24.02.2014 N 79-п &quot;О внесении изменений в постановление Правительства Новосибирской области от 20.10.2011 N 458-п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24.02.2014 N 79-п "О внесении изменений в постановление Правительства Новосибирской области от 20.10.2011 N 458-п";</w:t>
      </w:r>
    </w:p>
    <w:p>
      <w:pPr>
        <w:pStyle w:val="0"/>
        <w:spacing w:before="200" w:line-rule="auto"/>
        <w:ind w:firstLine="540"/>
        <w:jc w:val="both"/>
      </w:pPr>
      <w:hyperlink w:history="0" r:id="rId15" w:tooltip="Постановление Правительства Новосибирской области от 15.12.2014 N 504-п &quot;О внесении изменений в постановление Правительства Новосибирской области от 20.10.2011 N 458-п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15.12.2014 N 504-п "О внесении изменений в постановление Правительства Новосибирской области от 20.10.2011 N 458-п".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Контроль за исполнением постановления возложить на временно исполняющего обязанности первого заместителя Губернатора Новосибирской области Петухова Ю.Ф.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Временно исполняющий обязанности</w:t>
      </w:r>
    </w:p>
    <w:p>
      <w:pPr>
        <w:pStyle w:val="0"/>
        <w:jc w:val="right"/>
      </w:pPr>
      <w:r>
        <w:rPr>
          <w:sz w:val="20"/>
        </w:rPr>
        <w:t xml:space="preserve">Губернатора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А.А.ТРАВНИКОВ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Правительства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от 28.04.2018 N 170-п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44" w:name="P44"/>
    <w:bookmarkEnd w:id="44"/>
    <w:p>
      <w:pPr>
        <w:pStyle w:val="2"/>
        <w:jc w:val="center"/>
      </w:pPr>
      <w:r>
        <w:rPr>
          <w:sz w:val="20"/>
        </w:rPr>
        <w:t xml:space="preserve">ПОРЯДОК</w:t>
      </w:r>
    </w:p>
    <w:p>
      <w:pPr>
        <w:pStyle w:val="2"/>
        <w:jc w:val="center"/>
      </w:pPr>
      <w:r>
        <w:rPr>
          <w:sz w:val="20"/>
        </w:rPr>
        <w:t xml:space="preserve">ПРОВЕДЕНИЯ АНТИКОРРУПЦИОННОГО МОНИТОРИНГА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6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29.03.2021 N 100-п)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Порядок проведения антикоррупционного мониторинга (далее - Порядок) устанавливает последовательность действий по проведению антикоррупционного мониторинга.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Антикоррупционный мониторинг - деятельность органов государственной власти Новосибирской области, иных государственных органов Новосибирской области, направленная на осуществление наблюдения и контроля за реализацией в данных органах требований федерального законодательства и законодательства Новосибирской области в сфере противодействия коррупции, в том числе на выявление коррупциогенных факторов и разработку мер по реализации государственной политики в сфере противодействия коррупции.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Целью антикоррупционного мониторинга является обеспечение выявления и комплексного анализа коррупционных правонарушений и коррупциогенных факторов, а также разработка мер по реализации государственной политики в сфере противодействия коррупции.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Задачами антикоррупционного мониторинга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выявление причин и условий, способствующих совершению коррупционных правонарушений;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разработка и реализация мер, направленных на их устранение.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Антикоррупционный мониторинг проводится органами государственной власти Новосибирской области, иными государственными органами Новосибирской области по следующим основным направлениям: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анализ штатной численности и укомплектованности подразделений (должностных лиц) по профилактике коррупционных и иных правонарушений;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исполнение при прохождении государственной гражданской службы Новосибирской области (далее - гражданская служба) обязанности по представлению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супруги (супруга), несовершеннолетних детей;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проведение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гражданской службы, государственными гражданскими служащими Новосибирской области (далее - гражданские служащие);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анализ сведений о доходах, расходах, об имуществе и обязательствах имущественного характера, представленных гражданами, претендующими на замещение должностей гражданской службы, гражданскими служащими;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осуществление контроля за соответствием расходов гражданского служащего, расходов его супруги (супруга) и несовершеннолетних детей доходу данного гражданского служащего и его супруги (супруга) в случаях и порядке, установленных Федеральным </w:t>
      </w:r>
      <w:hyperlink w:history="0" r:id="rId17" w:tooltip="Федеральный закон от 03.12.2012 N 230-ФЗ (ред. от 10.07.2023) &quot;О контроле за соответствием расходов лиц, замещающих государственные должности, и иных лиц их доходам&quot; (с изм. и доп., вступ. в силу с 15.09.2023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03.12.2012 N 230-ФЗ "О контроле за соответствием расходов лиц, замещающих государственные должности, и иных лиц их доходам";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соблюдение гражданскими служащими запретов, ограничений и требований, установленных в целях противодействия коррупции, в том числе о предотвращении или урегулировании конфликта интересов;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уведомление гражданскими служащими представителя нанимателя о возникновении (возможности возникновения) у них конфликта интересов, об иной оплачиваемой работе;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проведение проверок соблюдения гражданами, замещавшими должности гражданской службы, ограничений при заключении ими после ухода с гражданской службы трудового договора и (или) гражданско-правового договора в случаях, предусмотренных федеральным законодательством;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организация подготовки гражданских служащих в сфере противодействия коррупции, их правовое и антикоррупционное просвещение;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10) деятельность комиссий по соблюдению требований к служебному поведению гражданских служащих и урегулированию конфликта интересов;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11) привлечение к ответственности гражданских служащих за совершение коррупционных правонарушений;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12) взаимодействие органов государственной власти Новосибирской области, иных государственных органов Новосибирской области с институтами гражданского общества, общероссийскими средствами массовой информации;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13) организация антикоррупционной экспертизы нормативных правовых актов и их проектов, в том числе независимой антикоррупционной экспертизы;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14) анализ обращений граждан о коррупционных правонарушениях гражданских служащих;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15) обобщение результатов социологических опросов, общественного мнения о состоянии коррупции.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Сведения о результатах антикоррупционного мониторинга, выражаемые в количественных показателях, органы государственной власти Новосибирской области, иные государственные органы Новосибирской области представляют в орган Новосибирской области по профилактике коррупционных и иных правонарушений в форме таблицы в соответствии с запросом органа Новосибирской области по профилактике коррупционных и иных правонарушений.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8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29.03.2021 N 100-п)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Количественные показатели, полученные самостоятельно каждым органом государственной власти Новосибирской области, иным государственным органом Новосибирской области в результате антикоррупционного мониторинга, включаются в таблицу нарастающим итогом и по состоянию на: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31 марта текущего года - за первый квартал отчетного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30 июня текущего года - за два квартала отчетного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30 сентября текущего года - за три квартала отчетного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31 декабря текущего года - за отчетный год.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Орган государственной власти Новосибирской области, иной государственный орган Новосибирской области, допустивший ошибки при указании количественных показателей в таблице, ранее представленной им в орган Новосибирской области по профилактике коррупционных и иных правонарушений, направляет в орган Новосибирской области по профилактике коррупционных и иных правонарушений в письменной форме уточненные сведения.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9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29.03.2021 N 100-п)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Орган Новосибирской области по профилактике коррупционных и иных правонарушений: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0" w:tooltip="Постановление Правительства Новосибирской области от 29.03.2021 N 100-п &quot;О внесении изменений в постановления Правительства Новосибирской области от 28.04.2018 N 170-п и от 16.04.2019 N 150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29.03.2021 N 100-п)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направляет запрос о представлении сведений о результатах антикоррупционного мониторинга за соответствующий отчетный период, осуществляет сбор, анализ и обобщение количественных показателей, полученных в результате проведенного антикоррупционного мониторинга и представленных органами государственной власти Новосибирской области, иными государственными органами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формирует сводный отчет о ходе реализации мер по противодействию коррупции в органах государственной власти Новосибирской области, иных государственных органах Новосибирской области (далее - сводный отчет);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обеспечивает размещение сводного отчета на официальном сайте Губернатора Новосибирской области и Правительства Новосибирской области в информационно-телекоммуникационной сети "Интернет".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Данные сводного отчета за отчетный год отражаются в ежегодном докладе о деятельности в области противодействия коррупции в Новосибирской области, подготовка которого осуществляется комиссией по координации работы по противодействию коррупции в Новосибирской области в соответствии с </w:t>
      </w:r>
      <w:hyperlink w:history="0" r:id="rId21" w:tooltip="Постановление Губернатора Новосибирской области от 13.10.2015 N 228 (ред. от 27.03.2024) &quot;Об образовании комиссии по координации работы по противодействию коррупции в Новосибирской области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13.10.2015 N 228 "Об образовании комиссии по координации работы по противодействию коррупции в Новосибирской области".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Новосибирской области от 28.04.2018 N 170-п</w:t>
            <w:br/>
            <w:t>(ред. от 29.03.2021)</w:t>
            <w:br/>
            <w:t>"Об утверждении Порядка про...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049&amp;n=138174&amp;dst=100005" TargetMode = "External"/>
	<Relationship Id="rId8" Type="http://schemas.openxmlformats.org/officeDocument/2006/relationships/hyperlink" Target="https://login.consultant.ru/link/?req=doc&amp;base=RLAW049&amp;n=150492&amp;dst=100035" TargetMode = "External"/>
	<Relationship Id="rId9" Type="http://schemas.openxmlformats.org/officeDocument/2006/relationships/hyperlink" Target="https://login.consultant.ru/link/?req=doc&amp;base=RLAW049&amp;n=138174&amp;dst=100006" TargetMode = "External"/>
	<Relationship Id="rId10" Type="http://schemas.openxmlformats.org/officeDocument/2006/relationships/hyperlink" Target="https://login.consultant.ru/link/?req=doc&amp;base=RLAW049&amp;n=138174&amp;dst=100007" TargetMode = "External"/>
	<Relationship Id="rId11" Type="http://schemas.openxmlformats.org/officeDocument/2006/relationships/hyperlink" Target="https://login.consultant.ru/link/?req=doc&amp;base=RLAW049&amp;n=77232" TargetMode = "External"/>
	<Relationship Id="rId12" Type="http://schemas.openxmlformats.org/officeDocument/2006/relationships/hyperlink" Target="https://login.consultant.ru/link/?req=doc&amp;base=RLAW049&amp;n=55880" TargetMode = "External"/>
	<Relationship Id="rId13" Type="http://schemas.openxmlformats.org/officeDocument/2006/relationships/hyperlink" Target="https://login.consultant.ru/link/?req=doc&amp;base=RLAW049&amp;n=63853" TargetMode = "External"/>
	<Relationship Id="rId14" Type="http://schemas.openxmlformats.org/officeDocument/2006/relationships/hyperlink" Target="https://login.consultant.ru/link/?req=doc&amp;base=RLAW049&amp;n=69392" TargetMode = "External"/>
	<Relationship Id="rId15" Type="http://schemas.openxmlformats.org/officeDocument/2006/relationships/hyperlink" Target="https://login.consultant.ru/link/?req=doc&amp;base=RLAW049&amp;n=77148" TargetMode = "External"/>
	<Relationship Id="rId16" Type="http://schemas.openxmlformats.org/officeDocument/2006/relationships/hyperlink" Target="https://login.consultant.ru/link/?req=doc&amp;base=RLAW049&amp;n=138174&amp;dst=100008" TargetMode = "External"/>
	<Relationship Id="rId17" Type="http://schemas.openxmlformats.org/officeDocument/2006/relationships/hyperlink" Target="https://login.consultant.ru/link/?req=doc&amp;base=LAW&amp;n=442435" TargetMode = "External"/>
	<Relationship Id="rId18" Type="http://schemas.openxmlformats.org/officeDocument/2006/relationships/hyperlink" Target="https://login.consultant.ru/link/?req=doc&amp;base=RLAW049&amp;n=138174&amp;dst=100009" TargetMode = "External"/>
	<Relationship Id="rId19" Type="http://schemas.openxmlformats.org/officeDocument/2006/relationships/hyperlink" Target="https://login.consultant.ru/link/?req=doc&amp;base=RLAW049&amp;n=138174&amp;dst=100010" TargetMode = "External"/>
	<Relationship Id="rId20" Type="http://schemas.openxmlformats.org/officeDocument/2006/relationships/hyperlink" Target="https://login.consultant.ru/link/?req=doc&amp;base=RLAW049&amp;n=138174&amp;dst=100011" TargetMode = "External"/>
	<Relationship Id="rId21" Type="http://schemas.openxmlformats.org/officeDocument/2006/relationships/hyperlink" Target="https://login.consultant.ru/link/?req=doc&amp;base=RLAW049&amp;n=171483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Новосибирской области от 28.04.2018 N 170-п
(ред. от 29.03.2021)
"Об утверждении Порядка проведения антикоррупционного мониторинга"</dc:title>
  <dcterms:created xsi:type="dcterms:W3CDTF">2024-04-24T10:17:09Z</dcterms:created>
</cp:coreProperties>
</file>