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ГУБЕРНАТОР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января 2021 г. N 5</w:t>
      </w:r>
    </w:p>
    <w:p>
      <w:pPr>
        <w:pStyle w:val="2"/>
        <w:jc w:val="center"/>
      </w:pPr>
      <w:r>
        <w:rPr>
          <w:sz w:val="20"/>
        </w:rPr>
      </w:r>
    </w:p>
    <w:p>
      <w:pPr>
        <w:pStyle w:val="2"/>
        <w:jc w:val="center"/>
      </w:pPr>
      <w:r>
        <w:rPr>
          <w:sz w:val="20"/>
        </w:rPr>
        <w:t xml:space="preserve">О РЕАЛИЗАЦИИ УКАЗА ПРЕЗИДЕНТА РОССИЙСКОЙ ФЕДЕРАЦИИ</w:t>
      </w:r>
    </w:p>
    <w:p>
      <w:pPr>
        <w:pStyle w:val="2"/>
        <w:jc w:val="center"/>
      </w:pPr>
      <w:r>
        <w:rPr>
          <w:sz w:val="20"/>
        </w:rPr>
        <w:t xml:space="preserve">ОТ 10.12.2020 N 778 "О МЕРАХ ПО РЕАЛИЗАЦИИ ОТДЕЛЬНЫХ</w:t>
      </w:r>
    </w:p>
    <w:p>
      <w:pPr>
        <w:pStyle w:val="2"/>
        <w:jc w:val="center"/>
      </w:pPr>
      <w:r>
        <w:rPr>
          <w:sz w:val="20"/>
        </w:rPr>
        <w:t xml:space="preserve">ПОЛОЖЕНИЙ ФЕДЕРАЛЬНОГО ЗАКОНА "О ЦИФРОВЫХ ФИНАНСОВЫХ</w:t>
      </w:r>
    </w:p>
    <w:p>
      <w:pPr>
        <w:pStyle w:val="2"/>
        <w:jc w:val="center"/>
      </w:pPr>
      <w:r>
        <w:rPr>
          <w:sz w:val="20"/>
        </w:rPr>
        <w:t xml:space="preserve">АКТИВАХ, ЦИФРОВОЙ ВАЛЮТЕ И О ВНЕСЕНИИ ИЗМЕНЕНИЙ В</w:t>
      </w:r>
    </w:p>
    <w:p>
      <w:pPr>
        <w:pStyle w:val="2"/>
        <w:jc w:val="center"/>
      </w:pPr>
      <w:r>
        <w:rPr>
          <w:sz w:val="20"/>
        </w:rPr>
        <w:t xml:space="preserve">ОТДЕЛЬНЫЕ ЗАКОНОДАТЕЛЬНЫЕ АКТЫ РОССИЙСКОЙ ФЕДЕРАЦИИ"</w:t>
      </w:r>
    </w:p>
    <w:p>
      <w:pPr>
        <w:pStyle w:val="0"/>
        <w:ind w:firstLine="540"/>
        <w:jc w:val="both"/>
      </w:pPr>
      <w:r>
        <w:rPr>
          <w:sz w:val="20"/>
        </w:rPr>
      </w:r>
    </w:p>
    <w:p>
      <w:pPr>
        <w:pStyle w:val="0"/>
        <w:ind w:firstLine="540"/>
        <w:jc w:val="both"/>
      </w:pPr>
      <w:r>
        <w:rPr>
          <w:sz w:val="20"/>
        </w:rPr>
        <w:t xml:space="preserve">В соответствии с </w:t>
      </w:r>
      <w:hyperlink w:history="0" r:id="rId6"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пунктом 5</w:t>
        </w:r>
      </w:hyperlink>
      <w:r>
        <w:rPr>
          <w:sz w:val="20"/>
        </w:rPr>
        <w:t xml:space="preserve"> Указа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постановляю:</w:t>
      </w:r>
    </w:p>
    <w:bookmarkStart w:id="13" w:name="P13"/>
    <w:bookmarkEnd w:id="13"/>
    <w:p>
      <w:pPr>
        <w:pStyle w:val="0"/>
        <w:spacing w:before="200" w:line-rule="auto"/>
        <w:ind w:firstLine="540"/>
        <w:jc w:val="both"/>
      </w:pPr>
      <w:r>
        <w:rPr>
          <w:sz w:val="20"/>
        </w:rPr>
        <w:t xml:space="preserve">1. Установить, что в период с 1 января по 30 июня 2021 года включительно лица, указанные в </w:t>
      </w:r>
      <w:hyperlink w:history="0" w:anchor="P14" w:tooltip="2. Уведомление, указанное в пункте 1 настоящего постановления, представляют:">
        <w:r>
          <w:rPr>
            <w:sz w:val="20"/>
            <w:color w:val="0000ff"/>
          </w:rPr>
          <w:t xml:space="preserve">пункте 2</w:t>
        </w:r>
      </w:hyperlink>
      <w:r>
        <w:rPr>
          <w:sz w:val="20"/>
        </w:rPr>
        <w:t xml:space="preserve"> настоящего постановления, вместе со сведениями, представляемыми по форме </w:t>
      </w:r>
      <w:hyperlink w:history="0" r:id="rId7" w:tooltip="Указ Президента РФ от 23.06.2014 N 460 (ред. от 10.12.202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 Недействующая редакция {КонсультантПлюс}">
        <w:r>
          <w:rPr>
            <w:sz w:val="20"/>
            <w:color w:val="0000ff"/>
          </w:rPr>
          <w:t xml:space="preserve">справки</w:t>
        </w:r>
      </w:hyperlink>
      <w:r>
        <w:rPr>
          <w:sz w:val="20"/>
        </w:rPr>
        <w:t xml:space="preserve">,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w:t>
      </w:r>
      <w:hyperlink w:history="0" r:id="rId8"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уведомление</w:t>
        </w:r>
      </w:hyperlink>
      <w:r>
        <w:rPr>
          <w:sz w:val="20"/>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N 1 к Указу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bookmarkStart w:id="14" w:name="P14"/>
    <w:bookmarkEnd w:id="14"/>
    <w:p>
      <w:pPr>
        <w:pStyle w:val="0"/>
        <w:spacing w:before="200" w:line-rule="auto"/>
        <w:ind w:firstLine="540"/>
        <w:jc w:val="both"/>
      </w:pPr>
      <w:r>
        <w:rPr>
          <w:sz w:val="20"/>
        </w:rPr>
        <w:t xml:space="preserve">2. </w:t>
      </w:r>
      <w:hyperlink w:history="0" r:id="rId9"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Уведомление</w:t>
        </w:r>
      </w:hyperlink>
      <w:r>
        <w:rPr>
          <w:sz w:val="20"/>
        </w:rPr>
        <w:t xml:space="preserve">, указанное в </w:t>
      </w:r>
      <w:hyperlink w:history="0" w:anchor="P13" w:tooltip="1. Установить, что в период с 1 января по 30 июня 2021 года включительно лица, указанные в пункте 2 настоящего постановления, вместе со сведениями, представляемыми по форме справки, утвержденной Указом Президента Российской Федерации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представляют уведомление о принадлежащих им, их супругам и несовершеннолетним...">
        <w:r>
          <w:rPr>
            <w:sz w:val="20"/>
            <w:color w:val="0000ff"/>
          </w:rPr>
          <w:t xml:space="preserve">пункте 1</w:t>
        </w:r>
      </w:hyperlink>
      <w:r>
        <w:rPr>
          <w:sz w:val="20"/>
        </w:rPr>
        <w:t xml:space="preserve"> настоящего постановления, представляют:</w:t>
      </w:r>
    </w:p>
    <w:p>
      <w:pPr>
        <w:pStyle w:val="0"/>
        <w:spacing w:before="200" w:line-rule="auto"/>
        <w:ind w:firstLine="540"/>
        <w:jc w:val="both"/>
      </w:pPr>
      <w:r>
        <w:rPr>
          <w:sz w:val="20"/>
        </w:rPr>
        <w:t xml:space="preserve">граждане, претендующие на замещение государственных должностей Новосибирской области, порядок представления которыми сведений о доходах, об имуществе и обязательствах имущественного характера определен </w:t>
      </w:r>
      <w:hyperlink w:history="0" r:id="rId10" w:tooltip="Постановление Губернатора Новосибирской области от 28.12.2009 N 549 (ред. от 19.01.2021) &quot;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Положением</w:t>
        </w:r>
      </w:hyperlink>
      <w:r>
        <w:rPr>
          <w:sz w:val="20"/>
        </w:rPr>
        <w:t xml:space="preserve">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 утвержденным постановлением Губернатора Новосибирской области от 28.12.2009 N 549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граждане, претендующие на замещение должностей государственной гражданской службы Новосибирской области, и государственные гражданские служащие Новосибирской области, замещающие должности государственной гражданской службы Новосибирской области, не предусмотренные перечнем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государственной гражданской службы Новосибирской области, предусмотренных указанным перечнем, порядок представления которыми сведений о доходах, об имуществе и обязательствах имущественного характера определен </w:t>
      </w:r>
      <w:hyperlink w:history="0" r:id="rId11" w:tooltip="Постановление Губернатора Новосибирской области от 03.08.2009 N 333 (ред. от 19.01.2021) &quot;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Положением</w:t>
        </w:r>
      </w:hyperlink>
      <w:r>
        <w:rPr>
          <w:sz w:val="20"/>
        </w:rP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утвержденным постановлением Губернатора Новосибирской области от 03.08.2009 N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3. Настоящее постановление распространяет свое действие на правоотношения, возникшие с 1 января 2021 года.</w:t>
      </w:r>
    </w:p>
    <w:p>
      <w:pPr>
        <w:pStyle w:val="0"/>
        <w:ind w:firstLine="540"/>
        <w:jc w:val="both"/>
      </w:pPr>
      <w:r>
        <w:rPr>
          <w:sz w:val="20"/>
        </w:rPr>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Новосибирской области от 19.01.2021 N 5</w:t>
            <w:br/>
            <w:t>"О реализации Указа Президента Российской Федерации от...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Губернатора Новосибирской области от 19.01.2021 N 5 "О реализации Указа Президента Российской Федерации от...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370554&amp;dst=100011" TargetMode = "External"/>
	<Relationship Id="rId7" Type="http://schemas.openxmlformats.org/officeDocument/2006/relationships/hyperlink" Target="https://login.consultant.ru/link/?req=doc&amp;base=LAW&amp;n=370891&amp;dst=100045" TargetMode = "External"/>
	<Relationship Id="rId8" Type="http://schemas.openxmlformats.org/officeDocument/2006/relationships/hyperlink" Target="https://login.consultant.ru/link/?req=doc&amp;base=LAW&amp;n=370554&amp;dst=100017" TargetMode = "External"/>
	<Relationship Id="rId9" Type="http://schemas.openxmlformats.org/officeDocument/2006/relationships/hyperlink" Target="https://login.consultant.ru/link/?req=doc&amp;base=LAW&amp;n=370554&amp;dst=100017" TargetMode = "External"/>
	<Relationship Id="rId10" Type="http://schemas.openxmlformats.org/officeDocument/2006/relationships/hyperlink" Target="https://login.consultant.ru/link/?req=doc&amp;base=RLAW049&amp;n=136040&amp;dst=100013" TargetMode = "External"/>
	<Relationship Id="rId11" Type="http://schemas.openxmlformats.org/officeDocument/2006/relationships/hyperlink" Target="https://login.consultant.ru/link/?req=doc&amp;base=RLAW049&amp;n=136045&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Новосибирской области от 19.01.2021 N 5
"О реализации Указа Президента Российской Федерации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dc:title>
  <dcterms:created xsi:type="dcterms:W3CDTF">2024-04-24T09:36:09Z</dcterms:created>
</cp:coreProperties>
</file>