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47"/>
        <w:jc w:val="center"/>
        <w:rPr>
          <w:b/>
          <w:lang w:val="en-US"/>
        </w:rPr>
      </w:pPr>
      <w:r>
        <w:rPr>
          <w:b/>
          <w:lang w:val="en-US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51180" cy="652780"/>
                <wp:effectExtent l="0" t="0" r="0" b="0"/>
                <wp:docPr id="1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551180" cy="652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40pt;height:51.40pt;mso-wrap-distance-left:0.00pt;mso-wrap-distance-top:0.00pt;mso-wrap-distance-right:0.00pt;mso-wrap-distance-bottom:0.00pt;" stroked="f">
                <v:path textboxrect="0,0,0,0"/>
                <v:imagedata r:id="rId11" o:title=""/>
              </v:shape>
            </w:pict>
          </mc:Fallback>
        </mc:AlternateContent>
      </w:r>
      <w:r>
        <w:rPr>
          <w:b/>
          <w:lang w:val="en-US"/>
        </w:rPr>
      </w:r>
      <w:r>
        <w:rPr>
          <w:b/>
          <w:lang w:val="en-US"/>
        </w:rPr>
      </w:r>
    </w:p>
    <w:p>
      <w:pPr>
        <w:pStyle w:val="647"/>
        <w:jc w:val="center"/>
        <w:rPr>
          <w:sz w:val="4"/>
          <w:lang w:val="en-US"/>
        </w:rPr>
      </w:pPr>
      <w:r>
        <w:rPr>
          <w:sz w:val="4"/>
          <w:lang w:val="en-US"/>
        </w:rPr>
      </w:r>
      <w:r>
        <w:rPr>
          <w:sz w:val="4"/>
          <w:lang w:val="en-US"/>
        </w:rPr>
      </w:r>
    </w:p>
    <w:p>
      <w:pPr>
        <w:pStyle w:val="647"/>
        <w:jc w:val="center"/>
        <w:rPr>
          <w:sz w:val="28"/>
        </w:rPr>
      </w:pPr>
      <w:r>
        <w:rPr>
          <w:sz w:val="28"/>
        </w:rPr>
      </w:r>
      <w:r>
        <w:rPr>
          <w:sz w:val="28"/>
        </w:rPr>
      </w:r>
    </w:p>
    <w:p>
      <w:pPr>
        <w:pStyle w:val="649"/>
        <w:rPr>
          <w:bCs/>
        </w:rPr>
      </w:pPr>
      <w:r>
        <w:rPr>
          <w:bCs/>
        </w:rPr>
        <w:t xml:space="preserve">УПРАВЛЕНИЕ ДЕЛАМИ </w:t>
      </w:r>
      <w:r>
        <w:rPr>
          <w:bCs/>
        </w:rPr>
        <w:t xml:space="preserve">ГУБЕРНАТОРА НОВОСИБИРСКОЙ ОБЛАСТИ И ПРАВИТЕЛЬСТВА НОВОСИБИРСКОЙ ОБЛАСТИ</w:t>
      </w:r>
      <w:r>
        <w:rPr>
          <w:bCs/>
        </w:rPr>
        <w:t xml:space="preserve"> </w:t>
      </w:r>
      <w:r>
        <w:rPr>
          <w:bCs/>
        </w:rPr>
      </w:r>
    </w:p>
    <w:p>
      <w:pPr>
        <w:pStyle w:val="647"/>
        <w:jc w:val="center"/>
      </w:pPr>
      <w:r/>
      <w:r/>
    </w:p>
    <w:p>
      <w:pPr>
        <w:pStyle w:val="648"/>
        <w:rPr>
          <w:b/>
          <w:bCs/>
          <w:sz w:val="36"/>
        </w:rPr>
      </w:pPr>
      <w:r>
        <w:rPr>
          <w:b/>
          <w:bCs/>
          <w:sz w:val="36"/>
        </w:rPr>
        <w:t xml:space="preserve">ПРИКАЗ</w:t>
      </w:r>
      <w:r>
        <w:rPr>
          <w:b/>
          <w:bCs/>
          <w:sz w:val="36"/>
        </w:rPr>
      </w:r>
      <w:r>
        <w:rPr>
          <w:b/>
          <w:bCs/>
          <w:sz w:val="36"/>
        </w:rPr>
      </w:r>
    </w:p>
    <w:p>
      <w:pPr>
        <w:pStyle w:val="647"/>
        <w:jc w:val="both"/>
        <w:rPr>
          <w:color w:val="000000"/>
          <w:sz w:val="28"/>
          <w:szCs w:val="20"/>
        </w:rPr>
        <w:outlineLvl w:val="0"/>
      </w:pPr>
      <w:r>
        <w:rPr>
          <w:color w:val="000000"/>
          <w:sz w:val="28"/>
          <w:szCs w:val="20"/>
        </w:rPr>
      </w:r>
      <w:r>
        <w:rPr>
          <w:color w:val="000000"/>
          <w:sz w:val="28"/>
          <w:szCs w:val="20"/>
        </w:rPr>
      </w:r>
    </w:p>
    <w:p>
      <w:pPr>
        <w:pStyle w:val="647"/>
        <w:jc w:val="center"/>
        <w:rPr>
          <w:color w:val="000000"/>
          <w:sz w:val="27"/>
          <w:szCs w:val="27"/>
        </w:rPr>
        <w:outlineLvl w:val="0"/>
      </w:pPr>
      <w:r>
        <w:rPr>
          <w:color w:val="000000"/>
          <w:sz w:val="27"/>
          <w:szCs w:val="27"/>
        </w:rPr>
        <w:t xml:space="preserve">«</w:t>
      </w:r>
      <w:r>
        <w:rPr>
          <w:color w:val="000000"/>
          <w:sz w:val="27"/>
          <w:szCs w:val="27"/>
        </w:rPr>
        <w:t xml:space="preserve">____</w:t>
      </w:r>
      <w:r>
        <w:rPr>
          <w:color w:val="000000"/>
          <w:sz w:val="27"/>
          <w:szCs w:val="27"/>
        </w:rPr>
        <w:t xml:space="preserve">»</w:t>
      </w:r>
      <w:r>
        <w:rPr>
          <w:color w:val="000000"/>
          <w:sz w:val="27"/>
          <w:szCs w:val="27"/>
        </w:rPr>
        <w:t xml:space="preserve"> ____________2024</w:t>
      </w:r>
      <w:r>
        <w:rPr>
          <w:color w:val="000000"/>
          <w:sz w:val="27"/>
          <w:szCs w:val="27"/>
        </w:rPr>
        <w:t xml:space="preserve"> г.    </w:t>
        <w:tab/>
        <w:t xml:space="preserve">          </w:t>
        <w:tab/>
        <w:t xml:space="preserve">                                                     № ____</w:t>
      </w:r>
      <w:r>
        <w:rPr>
          <w:color w:val="000000"/>
          <w:sz w:val="27"/>
          <w:szCs w:val="27"/>
        </w:rPr>
      </w:r>
    </w:p>
    <w:p>
      <w:pPr>
        <w:pStyle w:val="647"/>
        <w:jc w:val="center"/>
        <w:rPr>
          <w:color w:val="000000"/>
          <w:sz w:val="27"/>
          <w:szCs w:val="27"/>
        </w:rPr>
        <w:outlineLvl w:val="0"/>
      </w:pPr>
      <w:r>
        <w:rPr>
          <w:color w:val="000000"/>
          <w:sz w:val="27"/>
          <w:szCs w:val="27"/>
        </w:rPr>
      </w:r>
      <w:r>
        <w:rPr>
          <w:color w:val="000000"/>
          <w:sz w:val="27"/>
          <w:szCs w:val="27"/>
        </w:rPr>
      </w:r>
    </w:p>
    <w:p>
      <w:pPr>
        <w:pStyle w:val="647"/>
        <w:jc w:val="center"/>
        <w:rPr>
          <w:color w:val="000000"/>
          <w:sz w:val="27"/>
          <w:szCs w:val="27"/>
        </w:rPr>
        <w:outlineLvl w:val="0"/>
      </w:pPr>
      <w:r>
        <w:rPr>
          <w:color w:val="000000"/>
          <w:sz w:val="27"/>
          <w:szCs w:val="27"/>
        </w:rPr>
        <w:t xml:space="preserve">г. Новосибирск</w:t>
      </w:r>
      <w:r>
        <w:rPr>
          <w:color w:val="000000"/>
          <w:sz w:val="27"/>
          <w:szCs w:val="27"/>
        </w:rPr>
      </w:r>
    </w:p>
    <w:p>
      <w:pPr>
        <w:pStyle w:val="653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pStyle w:val="647"/>
        <w:jc w:val="center"/>
        <w:rPr>
          <w:color w:val="000000"/>
          <w:spacing w:val="-6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О Порядке получения государственными гражданскими служащими Новосибирской области, замещающими должности государственной гражданской службы Новосибирской области в управлении делами Губернатора Новосибирской области и Правительства Новосибирской области</w:t>
      </w:r>
      <w:r>
        <w:rPr>
          <w:color w:val="000000"/>
          <w:spacing w:val="-6"/>
          <w:sz w:val="28"/>
          <w:szCs w:val="28"/>
        </w:rPr>
        <w:t xml:space="preserve">, разрешения представителя </w:t>
      </w:r>
      <w:r>
        <w:rPr>
          <w:color w:val="000000"/>
          <w:spacing w:val="-6"/>
          <w:sz w:val="28"/>
          <w:szCs w:val="28"/>
        </w:rPr>
        <w:t xml:space="preserve">нанимателя на участие на безвозмездной основе</w:t>
      </w:r>
      <w:r>
        <w:rPr>
          <w:color w:val="000000"/>
          <w:spacing w:val="-6"/>
          <w:sz w:val="28"/>
          <w:szCs w:val="28"/>
        </w:rPr>
        <w:t xml:space="preserve"> </w:t>
      </w:r>
      <w:r>
        <w:rPr>
          <w:color w:val="000000"/>
          <w:spacing w:val="-6"/>
          <w:sz w:val="28"/>
          <w:szCs w:val="28"/>
        </w:rPr>
        <w:t xml:space="preserve">в управлении некоммерческими организациями</w:t>
      </w:r>
      <w:r>
        <w:rPr>
          <w:color w:val="000000"/>
          <w:spacing w:val="-6"/>
          <w:sz w:val="28"/>
          <w:szCs w:val="28"/>
        </w:rPr>
      </w:r>
      <w:r>
        <w:rPr>
          <w:color w:val="000000"/>
          <w:spacing w:val="-6"/>
          <w:sz w:val="28"/>
          <w:szCs w:val="28"/>
        </w:rPr>
      </w:r>
    </w:p>
    <w:p>
      <w:pPr>
        <w:pStyle w:val="647"/>
        <w:jc w:val="center"/>
        <w:rPr>
          <w:color w:val="000000"/>
          <w:spacing w:val="-6"/>
          <w:sz w:val="28"/>
          <w:szCs w:val="28"/>
        </w:rPr>
      </w:pPr>
      <w:r>
        <w:rPr>
          <w:color w:val="000000"/>
          <w:spacing w:val="-6"/>
          <w:sz w:val="28"/>
          <w:szCs w:val="28"/>
        </w:rPr>
      </w:r>
      <w:r>
        <w:rPr>
          <w:color w:val="000000"/>
          <w:spacing w:val="-6"/>
          <w:sz w:val="28"/>
          <w:szCs w:val="28"/>
        </w:rPr>
      </w:r>
    </w:p>
    <w:p>
      <w:pPr>
        <w:pStyle w:val="647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В целях обеспечения реализации </w:t>
      </w:r>
      <w:r>
        <w:rPr>
          <w:sz w:val="28"/>
          <w:szCs w:val="28"/>
        </w:rPr>
        <w:t xml:space="preserve">подпункта «б» </w:t>
      </w:r>
      <w:r>
        <w:rPr>
          <w:rFonts w:eastAsia="Calibri"/>
          <w:color w:val="000000"/>
          <w:sz w:val="28"/>
          <w:szCs w:val="28"/>
          <w:lang w:eastAsia="en-US"/>
        </w:rPr>
        <w:t xml:space="preserve">пункта 3 части 1 статьи 17 Федерального закона от 27.07.2004 № 79-ФЗ «О государственной гражданск</w:t>
      </w:r>
      <w:r>
        <w:rPr>
          <w:rFonts w:eastAsia="Calibri"/>
          <w:color w:val="000000"/>
          <w:sz w:val="28"/>
          <w:szCs w:val="28"/>
          <w:lang w:eastAsia="en-US"/>
        </w:rPr>
        <w:t xml:space="preserve">ой службе Российской Федерации»</w:t>
      </w:r>
      <w:r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п р и к а з ы в а ю</w:t>
      </w:r>
      <w:r>
        <w:rPr>
          <w:rFonts w:eastAsia="Calibri"/>
          <w:color w:val="000000"/>
          <w:sz w:val="28"/>
          <w:szCs w:val="28"/>
          <w:lang w:eastAsia="en-US"/>
        </w:rPr>
        <w:t xml:space="preserve">:</w:t>
      </w:r>
      <w:r>
        <w:rPr>
          <w:rFonts w:eastAsia="Calibri"/>
          <w:color w:val="000000"/>
          <w:sz w:val="28"/>
          <w:szCs w:val="28"/>
          <w:lang w:eastAsia="en-US"/>
        </w:rPr>
      </w:r>
      <w:r>
        <w:rPr>
          <w:rFonts w:eastAsia="Calibri"/>
          <w:color w:val="000000"/>
          <w:sz w:val="28"/>
          <w:szCs w:val="28"/>
          <w:lang w:eastAsia="en-US"/>
        </w:rPr>
      </w:r>
    </w:p>
    <w:p>
      <w:pPr>
        <w:pStyle w:val="647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1. </w:t>
      </w:r>
      <w:r>
        <w:rPr>
          <w:rFonts w:eastAsia="Calibri"/>
          <w:color w:val="000000"/>
          <w:sz w:val="28"/>
          <w:szCs w:val="28"/>
          <w:lang w:eastAsia="en-US"/>
        </w:rPr>
        <w:t xml:space="preserve">Утвердить прилагаемый</w:t>
      </w:r>
      <w:r>
        <w:rPr>
          <w:rFonts w:eastAsia="Calibri"/>
          <w:color w:val="000000"/>
          <w:sz w:val="28"/>
          <w:szCs w:val="28"/>
          <w:lang w:eastAsia="en-US"/>
        </w:rPr>
        <w:t xml:space="preserve"> Порядок получения </w:t>
      </w:r>
      <w:r>
        <w:rPr>
          <w:sz w:val="28"/>
          <w:szCs w:val="28"/>
        </w:rPr>
        <w:t xml:space="preserve">государственными гражданскими служащими Новосибирской области, замещающими должности государственной гражданской службы Новосибирской области</w:t>
      </w:r>
      <w:r>
        <w:rPr>
          <w:rFonts w:eastAsia="Calibri"/>
          <w:color w:val="000000"/>
          <w:sz w:val="28"/>
          <w:szCs w:val="28"/>
          <w:lang w:eastAsia="en-US"/>
        </w:rPr>
        <w:t xml:space="preserve"> в </w:t>
      </w:r>
      <w:r>
        <w:rPr>
          <w:rFonts w:eastAsia="Calibri"/>
          <w:color w:val="000000"/>
          <w:sz w:val="28"/>
          <w:szCs w:val="28"/>
          <w:lang w:eastAsia="en-US"/>
        </w:rPr>
        <w:t xml:space="preserve">управлении делами Губернатора Новосибирской области и Правительства Новосибирской области, разрешения представителя нанимателя на участие на безвозмездной основе в управлении некоммерческими организациями.</w:t>
      </w:r>
      <w:r>
        <w:rPr>
          <w:rFonts w:eastAsia="Calibri"/>
          <w:color w:val="000000"/>
          <w:sz w:val="28"/>
          <w:szCs w:val="28"/>
          <w:lang w:eastAsia="en-US"/>
        </w:rPr>
      </w:r>
    </w:p>
    <w:p>
      <w:pPr>
        <w:pStyle w:val="647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2. </w:t>
      </w:r>
      <w:r>
        <w:rPr>
          <w:rFonts w:eastAsia="Calibri"/>
          <w:color w:val="000000"/>
          <w:sz w:val="28"/>
          <w:szCs w:val="28"/>
          <w:lang w:eastAsia="en-US"/>
        </w:rPr>
        <w:t xml:space="preserve">Приказ </w:t>
      </w:r>
      <w:r>
        <w:rPr>
          <w:rFonts w:eastAsia="Calibri"/>
          <w:color w:val="000000"/>
          <w:sz w:val="28"/>
          <w:szCs w:val="28"/>
          <w:lang w:eastAsia="en-US"/>
        </w:rPr>
        <w:t xml:space="preserve">управлении делами Губернатора Новосибирской области и Правительства Новосибирской области</w:t>
      </w:r>
      <w:r>
        <w:rPr>
          <w:rFonts w:eastAsia="Calibri"/>
          <w:color w:val="000000"/>
          <w:sz w:val="28"/>
          <w:szCs w:val="28"/>
          <w:lang w:eastAsia="en-US"/>
        </w:rPr>
        <w:t xml:space="preserve"> от 01.06.2017 № 77 «</w:t>
      </w:r>
      <w:r>
        <w:rPr>
          <w:sz w:val="28"/>
          <w:szCs w:val="28"/>
        </w:rPr>
        <w:t xml:space="preserve">О Порядке получения государственными гражданскими служащими Новосибирской области разрешения представителя нанимателя на участие на безвозмездной основе в управлении общественной организацией (кроме политической партии), жилищным, жилищн</w:t>
      </w:r>
      <w:r>
        <w:rPr>
          <w:sz w:val="28"/>
          <w:szCs w:val="28"/>
        </w:rPr>
        <w:t xml:space="preserve">о-строительным, гаражным кооперативами, садоводческим, огородническим, дачным потребительскими кооперативами, товариществом собственников недвижимости в качестве единоличного исполнительного органа или вхождения в состав их коллегиальных органов управления</w:t>
      </w:r>
      <w:r>
        <w:rPr>
          <w:sz w:val="28"/>
          <w:szCs w:val="28"/>
        </w:rPr>
        <w:t xml:space="preserve">».</w:t>
      </w:r>
      <w:r>
        <w:rPr>
          <w:rFonts w:eastAsia="Calibri"/>
          <w:color w:val="000000"/>
          <w:sz w:val="28"/>
          <w:szCs w:val="28"/>
          <w:lang w:eastAsia="en-US"/>
        </w:rPr>
      </w:r>
      <w:r>
        <w:rPr>
          <w:rFonts w:eastAsia="Calibri"/>
          <w:color w:val="000000"/>
          <w:sz w:val="28"/>
          <w:szCs w:val="28"/>
          <w:lang w:eastAsia="en-US"/>
        </w:rPr>
      </w:r>
    </w:p>
    <w:p>
      <w:pPr>
        <w:pStyle w:val="647"/>
        <w:ind w:firstLine="709"/>
        <w:jc w:val="both"/>
        <w:widowControl w:val="o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3. </w:t>
      </w:r>
      <w:r>
        <w:rPr>
          <w:color w:val="000000"/>
          <w:sz w:val="28"/>
          <w:szCs w:val="28"/>
        </w:rPr>
        <w:t xml:space="preserve">Контроль за исполнением настоящего приказа оставляю за собой.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47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Управляющий делами</w:t>
        <w:tab/>
        <w:tab/>
        <w:tab/>
        <w:tab/>
        <w:tab/>
        <w:tab/>
        <w:tab/>
        <w:t xml:space="preserve">     </w:t>
      </w:r>
      <w:r>
        <w:rPr>
          <w:sz w:val="28"/>
          <w:szCs w:val="28"/>
        </w:rPr>
        <w:t xml:space="preserve">            В.Г. Манев</w:t>
      </w:r>
      <w:r>
        <w:rPr>
          <w:sz w:val="28"/>
          <w:szCs w:val="28"/>
          <w:highlight w:val="none"/>
        </w:rPr>
      </w:r>
    </w:p>
    <w:p>
      <w:pPr>
        <w:pStyle w:val="647"/>
        <w:ind w:left="524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</w:t>
      </w:r>
      <w:r>
        <w:rPr>
          <w:color w:val="000000"/>
          <w:sz w:val="28"/>
          <w:szCs w:val="28"/>
        </w:rPr>
        <w:t xml:space="preserve">о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47"/>
        <w:ind w:left="524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приказом управления делами Губернатора Новосибирской области и Правительства Новосибирской области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47"/>
        <w:ind w:left="524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47"/>
        <w:ind w:left="524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от_________ №_________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47"/>
        <w:jc w:val="both"/>
        <w:spacing w:line="218" w:lineRule="auto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</w:r>
      <w:r>
        <w:rPr>
          <w:b/>
          <w:color w:val="000000"/>
          <w:sz w:val="28"/>
          <w:szCs w:val="28"/>
        </w:rPr>
      </w:r>
      <w:r>
        <w:rPr>
          <w:b/>
          <w:color w:val="000000"/>
          <w:sz w:val="28"/>
          <w:szCs w:val="28"/>
        </w:rPr>
      </w:r>
    </w:p>
    <w:p>
      <w:pPr>
        <w:pStyle w:val="64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ПОРЯДОК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получения государственными гражданскими служащими Новосибирской области, замещающими должности государственной гражданской службы Новосибирской области в управлении делами Губернатора Новосибирской области и Правительства Новосибирской области</w:t>
      </w:r>
      <w:r>
        <w:rPr>
          <w:sz w:val="28"/>
          <w:szCs w:val="28"/>
        </w:rPr>
        <w:t xml:space="preserve">, разрешения представителя </w:t>
      </w:r>
      <w:r>
        <w:rPr>
          <w:sz w:val="28"/>
          <w:szCs w:val="28"/>
        </w:rPr>
        <w:t xml:space="preserve">нанимателя на участие на безвозмездной основе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управлении некоммерческими организациями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Порядок </w:t>
      </w:r>
      <w:r>
        <w:rPr>
          <w:color w:val="000000"/>
          <w:sz w:val="28"/>
          <w:szCs w:val="28"/>
        </w:rPr>
        <w:t xml:space="preserve">получения </w:t>
      </w:r>
      <w:r>
        <w:rPr>
          <w:sz w:val="28"/>
          <w:szCs w:val="28"/>
        </w:rPr>
        <w:t xml:space="preserve">государственными гражданскими служащими Новосибирской области, замещающими должности государственной гражданской службы Новосибирской области</w:t>
      </w:r>
      <w:r>
        <w:rPr>
          <w:color w:val="000000"/>
          <w:sz w:val="28"/>
          <w:szCs w:val="28"/>
        </w:rPr>
        <w:t xml:space="preserve"> в управлении делами Губернатора Новосибирской области и Правительства Новосибирской области, разрешения представителя нанимателя на участие на безвозмездной основе в управлении некоммерческими организациями (далее </w:t>
      </w:r>
      <w:r>
        <w:rPr>
          <w:sz w:val="28"/>
          <w:szCs w:val="28"/>
        </w:rPr>
        <w:t xml:space="preserve">– Порядок) разработан в соответствии с подпунктом «б» пункта 3 части 1 статьи 17 Федерального закона от 27.07.2004 № 79-ФЗ </w:t>
      </w:r>
      <w:r>
        <w:rPr>
          <w:spacing w:val="-6"/>
          <w:sz w:val="28"/>
          <w:szCs w:val="28"/>
        </w:rPr>
        <w:t xml:space="preserve">«О  государственной гражданской службе Российской Федерации» и устанавливает</w:t>
      </w:r>
      <w:r>
        <w:rPr>
          <w:sz w:val="28"/>
          <w:szCs w:val="28"/>
        </w:rPr>
        <w:t xml:space="preserve"> процедуру получения государственными гражданскими служащими Новосибирской области, замещающими должности государственной гражданской службы Новос</w:t>
      </w:r>
      <w:r>
        <w:rPr>
          <w:sz w:val="28"/>
          <w:szCs w:val="28"/>
        </w:rPr>
        <w:t xml:space="preserve">ибирской области в управлении делами Губернатора Новосибирской области и Правительства Новосибирской области (далее – гражданский служащий), разрешения представителя нанимателя на участие на безвозмездной основе в управлении некоммерческой организацией (кр</w:t>
      </w:r>
      <w:r>
        <w:rPr>
          <w:sz w:val="28"/>
          <w:szCs w:val="28"/>
        </w:rPr>
        <w:t xml:space="preserve">оме участия в управлении политической партией и органом профессионального союза, в том числе выборным органом первичной профсоюзной организации, созданной в управлении делами Губернатора Новосибирской области и Правительства Новосибирской области (далее – </w:t>
      </w:r>
      <w:r>
        <w:rPr>
          <w:sz w:val="28"/>
          <w:szCs w:val="28"/>
        </w:rPr>
        <w:t xml:space="preserve">управление делами</w:t>
      </w:r>
      <w:r>
        <w:rPr>
          <w:sz w:val="28"/>
          <w:szCs w:val="28"/>
        </w:rPr>
        <w:t xml:space="preserve">),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(далее – некоммерческая организация).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Настоящий Порядок не распространяется на государственных гражданских служащих Новосибирской области, замещающих должности государственной гражданской службы в </w:t>
      </w:r>
      <w:r>
        <w:rPr>
          <w:sz w:val="28"/>
          <w:szCs w:val="28"/>
        </w:rPr>
        <w:t xml:space="preserve">управлении делами</w:t>
      </w:r>
      <w:r>
        <w:rPr>
          <w:sz w:val="28"/>
          <w:szCs w:val="28"/>
        </w:rPr>
        <w:t xml:space="preserve">, назначение и освобождение которых от должности осуществляется Губернатором Новосибирской области.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Гражданский служащий, намеревающийся участвовать на безвозмездной основе в управлении некоммерческой организацией, представляет на имя </w:t>
      </w:r>
      <w:r>
        <w:rPr>
          <w:sz w:val="28"/>
          <w:szCs w:val="28"/>
        </w:rPr>
        <w:t xml:space="preserve">управляющего делами Губернатора Новосибирской области и Правительства Новосибирской области</w:t>
      </w:r>
      <w:r>
        <w:rPr>
          <w:sz w:val="28"/>
          <w:szCs w:val="28"/>
        </w:rPr>
        <w:t xml:space="preserve"> (далее – </w:t>
      </w:r>
      <w:r>
        <w:rPr>
          <w:sz w:val="28"/>
          <w:szCs w:val="28"/>
        </w:rPr>
        <w:t xml:space="preserve">управляющий делами</w:t>
      </w:r>
      <w:r>
        <w:rPr>
          <w:sz w:val="28"/>
          <w:szCs w:val="28"/>
        </w:rPr>
        <w:t xml:space="preserve">), ходатайство о разрешении участия на безвозмездной основе в управлении некоммерческой организацией (далее – ходатайство)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Гражданский служащий, участвующий на безвозмездной основе в управлении некоммерческой организацией на момент назначения на должность государственной гражданской службы Новосибирской области, представляет на имя </w:t>
      </w:r>
      <w:r>
        <w:rPr>
          <w:sz w:val="28"/>
          <w:szCs w:val="28"/>
        </w:rPr>
        <w:t xml:space="preserve">управляющего делами</w:t>
      </w:r>
      <w:r>
        <w:rPr>
          <w:sz w:val="28"/>
          <w:szCs w:val="28"/>
        </w:rPr>
        <w:t xml:space="preserve"> ходатайство в день назначения на должность государственной гражданской службы Новосибирской области в </w:t>
      </w:r>
      <w:r>
        <w:rPr>
          <w:sz w:val="28"/>
          <w:szCs w:val="28"/>
        </w:rPr>
        <w:t xml:space="preserve">управлении делами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Ходатайство представляется в отдел </w:t>
      </w:r>
      <w:r>
        <w:rPr>
          <w:sz w:val="28"/>
          <w:szCs w:val="28"/>
        </w:rPr>
        <w:t xml:space="preserve">правовой</w:t>
      </w:r>
      <w:r>
        <w:rPr>
          <w:sz w:val="28"/>
          <w:szCs w:val="28"/>
        </w:rPr>
        <w:t xml:space="preserve"> и кадровой работы </w:t>
      </w:r>
      <w:r>
        <w:rPr>
          <w:sz w:val="28"/>
          <w:szCs w:val="28"/>
        </w:rPr>
        <w:t xml:space="preserve">управления делами (далее </w:t>
      </w:r>
      <w:r>
        <w:rPr>
          <w:sz w:val="28"/>
          <w:szCs w:val="28"/>
        </w:rPr>
        <w:t xml:space="preserve">– отдел правовой и кадровой работы) по форме согласно приложению № </w:t>
      </w:r>
      <w:r>
        <w:rPr>
          <w:sz w:val="28"/>
          <w:szCs w:val="28"/>
        </w:rPr>
        <w:t xml:space="preserve">1 к настоящему Порядку.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 К ходатайству гражданским слу</w:t>
      </w:r>
      <w:r>
        <w:rPr>
          <w:sz w:val="28"/>
          <w:szCs w:val="28"/>
        </w:rPr>
        <w:t xml:space="preserve">жащим могут быть приложены (при</w:t>
      </w:r>
      <w:r>
        <w:rPr>
          <w:sz w:val="28"/>
          <w:szCs w:val="28"/>
        </w:rPr>
        <w:t xml:space="preserve"> наличии) все имеющиеся материалы, подтверждающие намерение участия гражданского служащего в управлении некоммерческой организацией (</w:t>
      </w:r>
      <w:r>
        <w:rPr>
          <w:sz w:val="28"/>
          <w:szCs w:val="28"/>
        </w:rPr>
        <w:t xml:space="preserve">копии уставных документов</w:t>
      </w:r>
      <w:r>
        <w:rPr>
          <w:sz w:val="28"/>
          <w:szCs w:val="28"/>
        </w:rPr>
        <w:t xml:space="preserve"> некоммерческой организации, письменные пояснения гражданского служащего, иные материалы).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 Представленное гражданским служащим ходатайство подлежит регистрации сотрудником отдела </w:t>
      </w:r>
      <w:r>
        <w:rPr>
          <w:sz w:val="28"/>
          <w:szCs w:val="28"/>
        </w:rPr>
        <w:t xml:space="preserve">правовой и кадровой работы в день поступления</w:t>
      </w:r>
      <w:r>
        <w:rPr>
          <w:sz w:val="28"/>
          <w:szCs w:val="28"/>
        </w:rPr>
        <w:t xml:space="preserve"> в журнале регистрации ходатайств о получении государственными гражданскими служащими Новосибирской области, замещающими должности государственной гражданской службы Новосибирской области в </w:t>
      </w:r>
      <w:r>
        <w:rPr>
          <w:sz w:val="28"/>
          <w:szCs w:val="28"/>
        </w:rPr>
        <w:t xml:space="preserve">управлении делами</w:t>
      </w:r>
      <w:r>
        <w:rPr>
          <w:sz w:val="28"/>
          <w:szCs w:val="28"/>
        </w:rPr>
        <w:t xml:space="preserve">, разрешения представителя нанимателя на участие на  безвозмездной основе в управлении некоммерческой организацией (далее – журнал), ведение которого осуществляется по форме согласно приложению № 2 к Порядку.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 Отдел </w:t>
      </w:r>
      <w:r>
        <w:rPr>
          <w:sz w:val="28"/>
          <w:szCs w:val="28"/>
        </w:rPr>
        <w:t xml:space="preserve">правовой и кадровой работы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 xml:space="preserve">осуществляет предварительное рассмотрение поступившего ходатайства и готовит</w:t>
      </w:r>
      <w:r>
        <w:rPr>
          <w:sz w:val="28"/>
          <w:szCs w:val="28"/>
        </w:rPr>
        <w:t xml:space="preserve"> заключение по результатам его рассмотрения.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 В течение трех рабочих дней со дня регистрации ходатайства в журнале ходатайство, приложенные к нему материалы </w:t>
      </w:r>
      <w:r>
        <w:rPr>
          <w:sz w:val="28"/>
          <w:szCs w:val="28"/>
        </w:rPr>
        <w:t xml:space="preserve">(при их наличии), заключение по</w:t>
      </w:r>
      <w:r>
        <w:rPr>
          <w:sz w:val="28"/>
          <w:szCs w:val="28"/>
        </w:rPr>
        <w:t xml:space="preserve"> результатам предварительного рассмотрения ходатайства передаются </w:t>
      </w:r>
      <w:r>
        <w:rPr>
          <w:sz w:val="28"/>
          <w:szCs w:val="28"/>
        </w:rPr>
        <w:t xml:space="preserve">управляющего делами</w:t>
      </w:r>
      <w:r>
        <w:rPr>
          <w:sz w:val="28"/>
          <w:szCs w:val="28"/>
        </w:rPr>
        <w:t xml:space="preserve"> для рассмотрения и принятия решения.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 По итогам рассмотрения документов, указанных в пункте 6 Порядка, в течение трех рабочих дней со дня их поступления на рассмотрение </w:t>
      </w:r>
      <w:r>
        <w:rPr>
          <w:sz w:val="28"/>
          <w:szCs w:val="28"/>
        </w:rPr>
        <w:t xml:space="preserve">управляющий делами</w:t>
      </w:r>
      <w:r>
        <w:rPr>
          <w:sz w:val="28"/>
          <w:szCs w:val="28"/>
        </w:rPr>
        <w:t xml:space="preserve"> принимает одно из следующих решений: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 разрешить гражданскому служащему участвовать на безвозмездной основе в управлении некоммерческой организацией, указанной в </w:t>
      </w:r>
      <w:r>
        <w:rPr>
          <w:sz w:val="28"/>
          <w:szCs w:val="28"/>
        </w:rPr>
        <w:t xml:space="preserve">ходатайстве, в</w:t>
      </w:r>
      <w:r>
        <w:rPr>
          <w:sz w:val="28"/>
          <w:szCs w:val="28"/>
        </w:rPr>
        <w:t xml:space="preserve"> качестве единоличного исполнительного органа или вхождения в состав ее коллегиального органа управления;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ind w:firstLine="709"/>
        <w:jc w:val="both"/>
        <w:rPr>
          <w:sz w:val="28"/>
          <w:szCs w:val="28"/>
        </w:rPr>
      </w:pPr>
      <w:r>
        <w:rPr>
          <w:spacing w:val="-6"/>
          <w:sz w:val="28"/>
          <w:szCs w:val="28"/>
        </w:rPr>
        <w:t xml:space="preserve">2) отказать гражданскому служащему в разрешении участия на безвозмездной</w:t>
      </w:r>
      <w:r>
        <w:rPr>
          <w:sz w:val="28"/>
          <w:szCs w:val="28"/>
        </w:rPr>
        <w:t xml:space="preserve"> основе в управлении некоммерческой организацией, указанной в х</w:t>
      </w:r>
      <w:r>
        <w:rPr>
          <w:sz w:val="28"/>
          <w:szCs w:val="28"/>
        </w:rPr>
        <w:t xml:space="preserve">одатайстве, в</w:t>
      </w:r>
      <w:r>
        <w:rPr>
          <w:sz w:val="28"/>
          <w:szCs w:val="28"/>
        </w:rPr>
        <w:t xml:space="preserve"> качестве единоличного исполнительного органа или вхождения в состав ее коллегиального органа управления;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3) направить ходатайство, приложенные к нему материалы (при их наличии) и заключение по результатам предварительного рассмотрения ходата</w:t>
      </w:r>
      <w:r>
        <w:rPr>
          <w:color w:val="000000"/>
          <w:sz w:val="28"/>
          <w:szCs w:val="28"/>
        </w:rPr>
        <w:t xml:space="preserve">йства на</w:t>
      </w:r>
      <w:r>
        <w:rPr>
          <w:color w:val="000000"/>
          <w:sz w:val="28"/>
          <w:szCs w:val="28"/>
        </w:rPr>
        <w:t xml:space="preserve"> рассмотрение в комиссию по соблюдению требований к служебному поведению государственных гражданских с</w:t>
      </w:r>
      <w:r>
        <w:rPr>
          <w:color w:val="000000"/>
          <w:sz w:val="28"/>
          <w:szCs w:val="28"/>
        </w:rPr>
        <w:t xml:space="preserve">лужащих Новосибирской области и</w:t>
      </w:r>
      <w:r>
        <w:rPr>
          <w:color w:val="000000"/>
          <w:sz w:val="28"/>
          <w:szCs w:val="28"/>
        </w:rPr>
        <w:t xml:space="preserve"> урегулированию конфликта интересов в </w:t>
      </w:r>
      <w:r>
        <w:rPr>
          <w:color w:val="000000"/>
          <w:sz w:val="28"/>
          <w:szCs w:val="28"/>
        </w:rPr>
        <w:t xml:space="preserve">управлении делами</w:t>
      </w:r>
      <w:r>
        <w:rPr>
          <w:color w:val="000000"/>
          <w:sz w:val="28"/>
          <w:szCs w:val="28"/>
        </w:rPr>
        <w:t xml:space="preserve">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4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8. </w:t>
      </w:r>
      <w:r>
        <w:rPr>
          <w:sz w:val="28"/>
          <w:szCs w:val="28"/>
        </w:rPr>
        <w:t xml:space="preserve">Управляющий делами</w:t>
      </w:r>
      <w:r>
        <w:rPr>
          <w:sz w:val="28"/>
          <w:szCs w:val="28"/>
        </w:rPr>
        <w:t xml:space="preserve"> принимает решение путем наложения соответствующей визы на ходатайстве.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47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9. Н</w:t>
      </w:r>
      <w:r>
        <w:rPr>
          <w:sz w:val="28"/>
          <w:szCs w:val="28"/>
        </w:rPr>
        <w:t xml:space="preserve">е позднее одного рабочего дня, следующего за днем принятия </w:t>
      </w:r>
      <w:r>
        <w:rPr>
          <w:sz w:val="28"/>
          <w:szCs w:val="28"/>
        </w:rPr>
        <w:t xml:space="preserve">управляющим делами</w:t>
      </w:r>
      <w:r>
        <w:rPr>
          <w:sz w:val="28"/>
          <w:szCs w:val="28"/>
        </w:rPr>
        <w:t xml:space="preserve"> решения, сотрудник отдела </w:t>
      </w:r>
      <w:r>
        <w:rPr>
          <w:sz w:val="28"/>
          <w:szCs w:val="28"/>
        </w:rPr>
        <w:t xml:space="preserve">правовой и кадровой работы</w:t>
      </w:r>
      <w:r>
        <w:rPr>
          <w:sz w:val="28"/>
          <w:szCs w:val="28"/>
        </w:rPr>
        <w:t xml:space="preserve"> письменно информирует гражданского служащего о принятом решении и проставляет в журнале отметку об информировании гражданского служащего, представившего ходатайство, о принятом решении.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425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№ 1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4248" w:firstLine="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Порядку получения государственными гражданскими служащими Новосибирской области, замещающими должности государственной гражданской службы Новосибирской области в </w:t>
      </w:r>
      <w:r>
        <w:rPr>
          <w:sz w:val="28"/>
          <w:szCs w:val="28"/>
        </w:rPr>
        <w:t xml:space="preserve">управлении делами</w:t>
      </w:r>
      <w:r>
        <w:rPr>
          <w:sz w:val="28"/>
          <w:szCs w:val="28"/>
        </w:rPr>
        <w:t xml:space="preserve"> Губернатора Новосибирской области и Правительства Новосибирской области, разрешения представителя нанимателя на участие на безвозмездной основе в управлении некоммерческими организациями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4395"/>
        <w:jc w:val="righ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Управляющему делами Губернатора Новосибирской области и Правительства Новосибирской области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4395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(инициалы, фамилия)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от_____________________________________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4395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(Ф.И.О. (отчество – при наличии), замещаемая должность,</w:t>
      </w:r>
      <w:r>
        <w:rPr>
          <w:sz w:val="20"/>
          <w:szCs w:val="20"/>
        </w:rPr>
        <w:br/>
        <w:t xml:space="preserve">адрес проживания гражданского служащего)</w:t>
      </w:r>
      <w:r>
        <w:rPr>
          <w:sz w:val="20"/>
          <w:szCs w:val="20"/>
        </w:rPr>
      </w:r>
      <w:r>
        <w:rPr>
          <w:sz w:val="20"/>
          <w:szCs w:val="20"/>
        </w:rPr>
      </w:r>
    </w:p>
    <w:tbl>
      <w:tblPr>
        <w:tblW w:w="5528" w:type="dxa"/>
        <w:tblInd w:w="4503" w:type="dxa"/>
        <w:tblBorders>
          <w:bottom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5528"/>
      </w:tblGrid>
      <w:tr>
        <w:tblPrEx/>
        <w:trPr/>
        <w:tc>
          <w:tcPr>
            <w:shd w:val="clear" w:color="ffffff" w:fill="ffffff"/>
            <w:tcW w:w="5528" w:type="dxa"/>
            <w:textDirection w:val="lrTb"/>
            <w:noWrap w:val="false"/>
          </w:tcPr>
          <w:p>
            <w:pPr>
              <w:ind w:left="439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shd w:val="clear" w:color="ffffff" w:fill="ffffff"/>
            <w:tcW w:w="5528" w:type="dxa"/>
            <w:textDirection w:val="lrTb"/>
            <w:noWrap w:val="false"/>
          </w:tcPr>
          <w:p>
            <w:pPr>
              <w:ind w:left="439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shd w:val="clear" w:color="ffffff" w:fill="ffffff"/>
            <w:tcW w:w="5528" w:type="dxa"/>
            <w:textDirection w:val="lrTb"/>
            <w:noWrap w:val="false"/>
          </w:tcPr>
          <w:p>
            <w:pPr>
              <w:ind w:left="510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ind w:left="4536" w:right="-2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ХОДАТАЙСТВО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разрешении участия на безвозмездной основе в управлении</w:t>
      </w:r>
      <w:bookmarkStart w:id="0" w:name="undefined"/>
      <w:r/>
      <w:bookmarkEnd w:id="0"/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некоммерческой организацией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</w:t>
      </w:r>
      <w:r>
        <w:rPr>
          <w:sz w:val="28"/>
          <w:szCs w:val="28"/>
        </w:rPr>
        <w:t xml:space="preserve">етствии с подпунктом «б» пункта 3 части 1 статьи 17 Федерального закона от 27.07.2004 № 79-ФЗ «О государственной гражданской службе Российской Федерации» прошу разрешить мне участвовать в управлении__________________________________________________________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center"/>
        <w:rPr>
          <w:sz w:val="28"/>
          <w:szCs w:val="28"/>
        </w:rPr>
      </w:pPr>
      <w:r>
        <w:rPr>
          <w:sz w:val="20"/>
          <w:szCs w:val="20"/>
        </w:rPr>
        <w:t xml:space="preserve">(организационно-правовая форма, полное наименование, юридический адрес,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2"/>
        <w:jc w:val="center"/>
        <w:tabs>
          <w:tab w:val="left" w:pos="4536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______________________________________________________________________ </w:t>
      </w:r>
      <w:r>
        <w:rPr>
          <w:sz w:val="20"/>
          <w:szCs w:val="20"/>
        </w:rPr>
        <w:t xml:space="preserve">ИНН некоммерческой организации)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______________________________________________________________________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______________________________________________________________________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______________________________________________________________________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2"/>
        <w:jc w:val="both"/>
        <w:rPr>
          <w:sz w:val="20"/>
          <w:szCs w:val="28"/>
        </w:rPr>
      </w:pPr>
      <w:r>
        <w:rPr>
          <w:sz w:val="20"/>
          <w:szCs w:val="28"/>
        </w:rPr>
      </w:r>
      <w:r>
        <w:rPr>
          <w:sz w:val="20"/>
          <w:szCs w:val="28"/>
        </w:rPr>
      </w:r>
      <w:r>
        <w:rPr>
          <w:sz w:val="20"/>
          <w:szCs w:val="28"/>
        </w:rPr>
      </w:r>
    </w:p>
    <w:p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безвозмездной основе в качестве единоличного исполнительного органа: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______________________________________________________________________</w:t>
      </w:r>
      <w:r>
        <w:rPr>
          <w:sz w:val="20"/>
          <w:szCs w:val="20"/>
        </w:rPr>
        <w:t xml:space="preserve"> (наименование единоличного исполнительного органа)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______________________________________________________________________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или вхождения в состав коллегиального органа управления: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2"/>
        <w:jc w:val="center"/>
        <w:rPr>
          <w:sz w:val="20"/>
          <w:szCs w:val="20"/>
        </w:rPr>
      </w:pPr>
      <w:r>
        <w:rPr>
          <w:sz w:val="28"/>
          <w:szCs w:val="28"/>
        </w:rPr>
        <w:t xml:space="preserve">______________________________________________________________________ </w:t>
      </w:r>
      <w:r>
        <w:rPr>
          <w:sz w:val="20"/>
          <w:szCs w:val="20"/>
        </w:rPr>
        <w:t xml:space="preserve">(наименование коллегиального органа управления)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10065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4390"/>
        <w:gridCol w:w="1989"/>
        <w:gridCol w:w="3686"/>
      </w:tblGrid>
      <w:tr>
        <w:tblPrEx/>
        <w:trPr>
          <w:trHeight w:val="397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390" w:type="dxa"/>
            <w:vAlign w:val="bottom"/>
            <w:textDirection w:val="lrTb"/>
            <w:noWrap w:val="false"/>
          </w:tcPr>
          <w:p>
            <w:pPr>
              <w:jc w:val="center"/>
              <w:spacing w:after="160" w:line="259" w:lineRule="auto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«____» ____________ 20___ г.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989" w:type="dxa"/>
            <w:vAlign w:val="bottom"/>
            <w:textDirection w:val="lrTb"/>
            <w:noWrap w:val="false"/>
          </w:tcPr>
          <w:p>
            <w:pPr>
              <w:jc w:val="center"/>
              <w:spacing w:after="160" w:line="259" w:lineRule="auto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86" w:type="dxa"/>
            <w:vAlign w:val="bottom"/>
            <w:textDirection w:val="lrTb"/>
            <w:noWrap w:val="false"/>
          </w:tcPr>
          <w:p>
            <w:pPr>
              <w:jc w:val="center"/>
              <w:spacing w:after="160" w:line="259" w:lineRule="auto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>
          <w:trHeight w:val="397"/>
        </w:trPr>
        <w:tc>
          <w:tcPr>
            <w:tcBorders>
              <w:top w:val="none" w:color="000000" w:sz="4" w:space="0"/>
              <w:right w:val="none" w:color="000000" w:sz="4" w:space="0"/>
            </w:tcBorders>
            <w:tcW w:w="4390" w:type="dxa"/>
            <w:textDirection w:val="lrTb"/>
            <w:noWrap w:val="false"/>
          </w:tcPr>
          <w:p>
            <w:pPr>
              <w:jc w:val="center"/>
              <w:spacing w:after="160" w:line="259" w:lineRule="auto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989" w:type="dxa"/>
            <w:textDirection w:val="lrTb"/>
            <w:noWrap w:val="false"/>
          </w:tcPr>
          <w:p>
            <w:pPr>
              <w:jc w:val="center"/>
              <w:spacing w:after="160" w:line="259" w:lineRule="auto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(подпись)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86" w:type="dxa"/>
            <w:textDirection w:val="lrTb"/>
            <w:noWrap w:val="false"/>
          </w:tcPr>
          <w:p>
            <w:pPr>
              <w:jc w:val="center"/>
              <w:spacing w:after="160" w:line="259" w:lineRule="auto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(фамилия, инициалы лица, представившего ходатайство)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</w:tbl>
    <w:p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Приложения к ходатайству:</w:t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10065" w:type="dxa"/>
        <w:tblBorders>
          <w:bottom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10065"/>
      </w:tblGrid>
      <w:tr>
        <w:tblPrEx/>
        <w:trPr/>
        <w:tc>
          <w:tcPr>
            <w:shd w:val="clear" w:color="ffffff" w:fill="ffffff"/>
            <w:tcW w:w="10065" w:type="dxa"/>
            <w:textDirection w:val="lrTb"/>
            <w:noWrap w:val="false"/>
          </w:tcPr>
          <w:p>
            <w:pPr>
              <w:ind w:right="-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shd w:val="clear" w:color="ffffff" w:fill="ffffff"/>
            <w:tcW w:w="10065" w:type="dxa"/>
            <w:textDirection w:val="lrTb"/>
            <w:noWrap w:val="false"/>
          </w:tcPr>
          <w:p>
            <w:pPr>
              <w:ind w:right="-2"/>
              <w:jc w:val="both"/>
              <w:tabs>
                <w:tab w:val="center" w:pos="4844" w:leader="none"/>
                <w:tab w:val="right" w:pos="9689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shd w:val="clear" w:color="ffffff" w:fill="ffffff"/>
            <w:tcW w:w="10065" w:type="dxa"/>
            <w:textDirection w:val="lrTb"/>
            <w:noWrap w:val="false"/>
          </w:tcPr>
          <w:p>
            <w:pPr>
              <w:ind w:right="-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shd w:val="clear" w:color="ffffff" w:fill="ffffff"/>
            <w:tcW w:w="10065" w:type="dxa"/>
            <w:textDirection w:val="lrTb"/>
            <w:noWrap w:val="false"/>
          </w:tcPr>
          <w:p>
            <w:pPr>
              <w:ind w:right="-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Дата регистрации ходатайства «____» ___________ 20___ года.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Регистрационный № ______ в журнале регистрации ходатайств о получении государственными гражданскими служащими Новосибирской области, замещающими должности госуда</w:t>
      </w:r>
      <w:r>
        <w:rPr>
          <w:sz w:val="28"/>
          <w:szCs w:val="28"/>
        </w:rPr>
        <w:t xml:space="preserve">рственной гражданской службы Новосибирской области в управлении делами Губернатора Новосибирской области и Правительства Новосибирской области, разрешения представителя нанимателя на участие на безвозмездной основе в управлении некоммерческой организацией.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16"/>
          <w:szCs w:val="28"/>
        </w:rPr>
      </w:pPr>
      <w:r>
        <w:rPr>
          <w:sz w:val="16"/>
          <w:szCs w:val="28"/>
        </w:rPr>
      </w:r>
      <w:r>
        <w:rPr>
          <w:sz w:val="16"/>
          <w:szCs w:val="28"/>
        </w:rPr>
      </w:r>
      <w:r>
        <w:rPr>
          <w:sz w:val="16"/>
          <w:szCs w:val="28"/>
        </w:rPr>
      </w:r>
    </w:p>
    <w:tbl>
      <w:tblPr>
        <w:tblW w:w="9485" w:type="dxa"/>
        <w:tblLayout w:type="fixed"/>
        <w:tblLook w:val="0400" w:firstRow="0" w:lastRow="0" w:firstColumn="0" w:lastColumn="0" w:noHBand="0" w:noVBand="1"/>
      </w:tblPr>
      <w:tblGrid>
        <w:gridCol w:w="5812"/>
        <w:gridCol w:w="3673"/>
      </w:tblGrid>
      <w:tr>
        <w:tblPrEx/>
        <w:trPr/>
        <w:tc>
          <w:tcPr>
            <w:shd w:val="clear" w:color="ffffff" w:fill="ffffff"/>
            <w:tcW w:w="5812" w:type="dxa"/>
            <w:textDirection w:val="lrTb"/>
            <w:noWrap w:val="false"/>
          </w:tcPr>
          <w:p>
            <w:pPr>
              <w:ind w:right="-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_____________________________________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shd w:val="clear" w:color="ffffff" w:fill="ffffff"/>
            <w:tcW w:w="3673" w:type="dxa"/>
            <w:textDirection w:val="lrTb"/>
            <w:noWrap w:val="false"/>
          </w:tcPr>
          <w:p>
            <w:pPr>
              <w:ind w:left="269" w:right="-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_______________________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shd w:val="clear" w:color="ffffff" w:fill="ffffff"/>
            <w:tcW w:w="5812" w:type="dxa"/>
            <w:textDirection w:val="lrTb"/>
            <w:noWrap w:val="false"/>
          </w:tcPr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(фамилия, инициалы сотрудника,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  <w:p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зарегистрировавшего ходатайство)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shd w:val="clear" w:color="ffffff" w:fill="ffffff"/>
            <w:tcW w:w="3673" w:type="dxa"/>
            <w:textDirection w:val="lrTb"/>
            <w:noWrap w:val="false"/>
          </w:tcPr>
          <w:p>
            <w:pPr>
              <w:ind w:left="269" w:right="-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(подпись сотрудника,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  <w:p>
            <w:pPr>
              <w:ind w:left="269" w:right="-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зарегистрировавшего ходатайство)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  <w:p>
            <w:pPr>
              <w:ind w:left="269" w:right="-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</w:tbl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rFonts w:eastAsiaTheme="minorHAnsi"/>
        </w:rPr>
      </w:pPr>
      <w:r>
        <w:rPr>
          <w:rFonts w:eastAsiaTheme="minorHAnsi"/>
        </w:rPr>
      </w:r>
      <w:r>
        <w:rPr>
          <w:rFonts w:eastAsiaTheme="minorHAnsi"/>
        </w:rPr>
      </w:r>
      <w:r>
        <w:rPr>
          <w:rFonts w:eastAsiaTheme="minorHAnsi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425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№ 2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4248" w:firstLine="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Порядку получения государственными гражданскими служащими Новосибирской области, замещающими должности государственной гражданской службы Новосибирской области </w:t>
      </w:r>
      <w:r>
        <w:rPr>
          <w:sz w:val="28"/>
          <w:szCs w:val="28"/>
        </w:rPr>
        <w:t xml:space="preserve">в управлении делами Губернатора Новосибирской области и Правительства Новосибирской области</w:t>
      </w:r>
      <w:r>
        <w:rPr>
          <w:sz w:val="28"/>
          <w:szCs w:val="28"/>
        </w:rPr>
        <w:t xml:space="preserve">, разрешения представителя нанимателя на участие на безвозмездной основе в управлении некоммерческими организациями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4248" w:right="-2" w:firstLine="5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4248" w:right="-2" w:firstLine="5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/>
      <w:r>
        <w:rPr>
          <w:sz w:val="28"/>
          <w:szCs w:val="28"/>
        </w:rPr>
        <w:t xml:space="preserve">ЖУРНАЛ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регистрации ходатайств о получении государственными гражданскими </w:t>
      </w:r>
      <w:r>
        <w:rPr>
          <w:spacing w:val="-6"/>
          <w:sz w:val="28"/>
          <w:szCs w:val="28"/>
        </w:rPr>
        <w:t xml:space="preserve">служащими Новосибирской области, замещающими должности государственной</w:t>
      </w:r>
      <w:r>
        <w:rPr>
          <w:sz w:val="28"/>
          <w:szCs w:val="28"/>
        </w:rPr>
        <w:t xml:space="preserve"> гражданской службы Новосибирской области </w:t>
      </w:r>
      <w:r>
        <w:rPr>
          <w:sz w:val="28"/>
          <w:szCs w:val="28"/>
        </w:rPr>
        <w:t xml:space="preserve">в управлении делами Губернатора Новосибирской области и Правительства Новосибирской области</w:t>
      </w:r>
      <w:r>
        <w:rPr>
          <w:spacing w:val="-6"/>
          <w:sz w:val="28"/>
          <w:szCs w:val="28"/>
        </w:rPr>
        <w:t xml:space="preserve">, разрешения</w:t>
      </w:r>
      <w:r>
        <w:rPr>
          <w:sz w:val="28"/>
          <w:szCs w:val="28"/>
        </w:rPr>
        <w:t xml:space="preserve"> представителя нанимателя на участие на безвозмездной основе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 управлении некоммерческой организацией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991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567"/>
        <w:gridCol w:w="1413"/>
        <w:gridCol w:w="1418"/>
        <w:gridCol w:w="1275"/>
        <w:gridCol w:w="1276"/>
        <w:gridCol w:w="1418"/>
        <w:gridCol w:w="1275"/>
        <w:gridCol w:w="1276"/>
      </w:tblGrid>
      <w:tr>
        <w:tblPrEx/>
        <w:trPr>
          <w:jc w:val="center"/>
          <w:trHeight w:val="40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п/п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413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Дата регистрации ходатайства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Ф.И.О.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(отчество –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 наличии), должность лица, представив-шего ходатайство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5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Краткое содержание ходатайства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Примечание о наличии материалов, прилагаемых к ходатайству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Ф.И.О. (отчество –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 наличии), должность лица, зарегистри-ровавшего ходатайство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5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Принятое решение по результатам рассмотре-ния ходатайства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Отметка об информи-ровании лица, представив-шего ходатайство, о принятом решении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  <w:tr>
        <w:tblPrEx/>
        <w:trPr>
          <w:jc w:val="center"/>
          <w:trHeight w:val="20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413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5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5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  <w:tr>
        <w:tblPrEx/>
        <w:trPr>
          <w:jc w:val="center"/>
          <w:trHeight w:val="260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413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5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5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  <w:tr>
        <w:tblPrEx/>
        <w:trPr>
          <w:jc w:val="center"/>
          <w:trHeight w:val="260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413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5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5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</w:tr>
    </w:tbl>
    <w:p>
      <w:pPr>
        <w:jc w:val="center"/>
        <w:tabs>
          <w:tab w:val="left" w:pos="1860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tabs>
          <w:tab w:val="left" w:pos="1860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tabs>
          <w:tab w:val="left" w:pos="1860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tabs>
          <w:tab w:val="left" w:pos="186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_________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rFonts w:eastAsiaTheme="minorHAnsi"/>
        </w:rPr>
      </w:pPr>
      <w:r>
        <w:rPr>
          <w:rFonts w:eastAsiaTheme="minorHAnsi"/>
        </w:rPr>
      </w:r>
      <w:r>
        <w:rPr>
          <w:rFonts w:eastAsiaTheme="minorHAnsi"/>
        </w:rPr>
      </w:r>
      <w:r>
        <w:rPr>
          <w:rFonts w:eastAsiaTheme="minorHAnsi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sectPr>
      <w:footerReference w:type="default" r:id="rId9"/>
      <w:footerReference w:type="first" r:id="rId10"/>
      <w:footnotePr/>
      <w:endnotePr/>
      <w:type w:val="nextPage"/>
      <w:pgSz w:w="11906" w:h="16838" w:orient="portrait"/>
      <w:pgMar w:top="1134" w:right="567" w:bottom="1134" w:left="1701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Courier New">
    <w:panose1 w:val="02070309020205020404"/>
  </w:font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61"/>
      <w:rPr>
        <w:sz w:val="20"/>
      </w:rPr>
    </w:pPr>
    <w:r>
      <w:rPr>
        <w:sz w:val="20"/>
      </w:rPr>
    </w:r>
    <w:r>
      <w:rPr>
        <w:sz w:val="20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47"/>
    <w:next w:val="64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47"/>
    <w:next w:val="64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47"/>
    <w:next w:val="64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47"/>
    <w:next w:val="64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47"/>
    <w:next w:val="64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47"/>
    <w:next w:val="64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47"/>
    <w:next w:val="64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47"/>
    <w:next w:val="64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47"/>
    <w:next w:val="64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4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47"/>
    <w:next w:val="64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47"/>
    <w:next w:val="64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47"/>
    <w:next w:val="64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47"/>
    <w:next w:val="64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4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4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47"/>
    <w:next w:val="6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4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4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47"/>
    <w:next w:val="64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47"/>
    <w:next w:val="64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47"/>
    <w:next w:val="64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47"/>
    <w:next w:val="64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47"/>
    <w:next w:val="64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47"/>
    <w:next w:val="64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47"/>
    <w:next w:val="64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47"/>
    <w:next w:val="64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47"/>
    <w:next w:val="64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47"/>
    <w:next w:val="647"/>
    <w:uiPriority w:val="99"/>
    <w:unhideWhenUsed/>
    <w:pPr>
      <w:spacing w:after="0" w:afterAutospacing="0"/>
    </w:pPr>
  </w:style>
  <w:style w:type="paragraph" w:styleId="647" w:default="1">
    <w:name w:val="Normal"/>
    <w:next w:val="647"/>
    <w:link w:val="647"/>
    <w:qFormat/>
    <w:rPr>
      <w:sz w:val="24"/>
      <w:szCs w:val="24"/>
      <w:lang w:val="ru-RU" w:eastAsia="ru-RU" w:bidi="ar-SA"/>
    </w:rPr>
  </w:style>
  <w:style w:type="paragraph" w:styleId="648">
    <w:name w:val="Заголовок 1"/>
    <w:basedOn w:val="647"/>
    <w:next w:val="647"/>
    <w:link w:val="647"/>
    <w:qFormat/>
    <w:pPr>
      <w:jc w:val="center"/>
      <w:keepNext/>
      <w:outlineLvl w:val="0"/>
    </w:pPr>
    <w:rPr>
      <w:sz w:val="32"/>
    </w:rPr>
  </w:style>
  <w:style w:type="paragraph" w:styleId="649">
    <w:name w:val="Заголовок 2"/>
    <w:basedOn w:val="647"/>
    <w:next w:val="647"/>
    <w:link w:val="647"/>
    <w:qFormat/>
    <w:pPr>
      <w:jc w:val="center"/>
      <w:keepNext/>
      <w:outlineLvl w:val="1"/>
    </w:pPr>
    <w:rPr>
      <w:b/>
      <w:sz w:val="28"/>
    </w:rPr>
  </w:style>
  <w:style w:type="character" w:styleId="650">
    <w:name w:val="Основной шрифт абзаца"/>
    <w:next w:val="650"/>
    <w:link w:val="647"/>
    <w:semiHidden/>
  </w:style>
  <w:style w:type="table" w:styleId="651">
    <w:name w:val="Обычная таблица"/>
    <w:next w:val="651"/>
    <w:link w:val="647"/>
    <w:semiHidden/>
    <w:tblPr/>
  </w:style>
  <w:style w:type="numbering" w:styleId="652">
    <w:name w:val="Нет списка"/>
    <w:next w:val="652"/>
    <w:link w:val="647"/>
    <w:semiHidden/>
  </w:style>
  <w:style w:type="paragraph" w:styleId="653">
    <w:name w:val="Основной текст 2"/>
    <w:basedOn w:val="647"/>
    <w:next w:val="653"/>
    <w:link w:val="647"/>
    <w:pPr>
      <w:jc w:val="center"/>
    </w:pPr>
    <w:rPr>
      <w:sz w:val="28"/>
    </w:rPr>
  </w:style>
  <w:style w:type="paragraph" w:styleId="654">
    <w:name w:val="Основной текст с отступом 3"/>
    <w:basedOn w:val="647"/>
    <w:next w:val="654"/>
    <w:link w:val="647"/>
    <w:pPr>
      <w:ind w:firstLine="720"/>
      <w:jc w:val="both"/>
      <w:spacing w:line="240" w:lineRule="atLeast"/>
    </w:pPr>
    <w:rPr>
      <w:color w:val="000000"/>
      <w:sz w:val="28"/>
      <w:szCs w:val="28"/>
    </w:rPr>
  </w:style>
  <w:style w:type="paragraph" w:styleId="655">
    <w:name w:val="Текст выноски"/>
    <w:basedOn w:val="647"/>
    <w:next w:val="655"/>
    <w:link w:val="647"/>
    <w:semiHidden/>
    <w:rPr>
      <w:rFonts w:ascii="Tahoma" w:hAnsi="Tahoma" w:cs="Tahoma"/>
      <w:sz w:val="16"/>
      <w:szCs w:val="16"/>
    </w:rPr>
  </w:style>
  <w:style w:type="paragraph" w:styleId="656">
    <w:name w:val="Обычный (веб)"/>
    <w:basedOn w:val="647"/>
    <w:next w:val="656"/>
    <w:link w:val="647"/>
    <w:uiPriority w:val="99"/>
    <w:unhideWhenUsed/>
    <w:pPr>
      <w:spacing w:before="100" w:beforeAutospacing="1" w:after="100" w:afterAutospacing="1"/>
    </w:pPr>
  </w:style>
  <w:style w:type="character" w:styleId="657">
    <w:name w:val="apple-converted-space"/>
    <w:next w:val="657"/>
    <w:link w:val="647"/>
  </w:style>
  <w:style w:type="character" w:styleId="658">
    <w:name w:val="Гиперссылка"/>
    <w:next w:val="658"/>
    <w:link w:val="647"/>
    <w:uiPriority w:val="99"/>
    <w:unhideWhenUsed/>
    <w:rPr>
      <w:color w:val="0000ff"/>
      <w:u w:val="single"/>
    </w:rPr>
  </w:style>
  <w:style w:type="paragraph" w:styleId="659">
    <w:name w:val="Верхний колонтитул"/>
    <w:basedOn w:val="647"/>
    <w:next w:val="659"/>
    <w:link w:val="660"/>
    <w:pPr>
      <w:tabs>
        <w:tab w:val="center" w:pos="4677" w:leader="none"/>
        <w:tab w:val="right" w:pos="9355" w:leader="none"/>
      </w:tabs>
    </w:pPr>
  </w:style>
  <w:style w:type="character" w:styleId="660">
    <w:name w:val="Верхний колонтитул Знак"/>
    <w:next w:val="660"/>
    <w:link w:val="659"/>
    <w:rPr>
      <w:sz w:val="24"/>
      <w:szCs w:val="24"/>
    </w:rPr>
  </w:style>
  <w:style w:type="paragraph" w:styleId="661">
    <w:name w:val="Нижний колонтитул"/>
    <w:basedOn w:val="647"/>
    <w:next w:val="661"/>
    <w:link w:val="662"/>
    <w:uiPriority w:val="99"/>
    <w:pPr>
      <w:tabs>
        <w:tab w:val="center" w:pos="4677" w:leader="none"/>
        <w:tab w:val="right" w:pos="9355" w:leader="none"/>
      </w:tabs>
    </w:pPr>
  </w:style>
  <w:style w:type="character" w:styleId="662">
    <w:name w:val="Нижний колонтитул Знак"/>
    <w:next w:val="662"/>
    <w:link w:val="661"/>
    <w:uiPriority w:val="99"/>
    <w:rPr>
      <w:sz w:val="24"/>
      <w:szCs w:val="24"/>
    </w:rPr>
  </w:style>
  <w:style w:type="paragraph" w:styleId="663">
    <w:name w:val="ConsPlusNormal"/>
    <w:next w:val="663"/>
    <w:link w:val="647"/>
    <w:pPr>
      <w:ind w:firstLine="720"/>
      <w:widowControl w:val="off"/>
    </w:pPr>
    <w:rPr>
      <w:rFonts w:ascii="Arial" w:hAnsi="Arial" w:cs="Arial"/>
      <w:lang w:val="ru-RU" w:eastAsia="ru-RU" w:bidi="ar-SA"/>
    </w:rPr>
  </w:style>
  <w:style w:type="paragraph" w:styleId="664">
    <w:name w:val="Абзац списка"/>
    <w:basedOn w:val="647"/>
    <w:next w:val="664"/>
    <w:link w:val="647"/>
    <w:uiPriority w:val="34"/>
    <w:qFormat/>
    <w:pPr>
      <w:contextualSpacing/>
      <w:ind w:left="720"/>
    </w:pPr>
  </w:style>
  <w:style w:type="paragraph" w:styleId="665">
    <w:name w:val="Стандартный HTML"/>
    <w:basedOn w:val="647"/>
    <w:next w:val="665"/>
    <w:link w:val="666"/>
    <w:pPr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cs="Courier New"/>
      <w:sz w:val="20"/>
      <w:szCs w:val="20"/>
    </w:rPr>
  </w:style>
  <w:style w:type="character" w:styleId="666">
    <w:name w:val="Стандартный HTML Знак"/>
    <w:next w:val="666"/>
    <w:link w:val="665"/>
    <w:rPr>
      <w:rFonts w:ascii="Courier New" w:hAnsi="Courier New" w:cs="Courier New"/>
    </w:rPr>
  </w:style>
  <w:style w:type="paragraph" w:styleId="667">
    <w:name w:val="ConsPlusTitle"/>
    <w:next w:val="667"/>
    <w:link w:val="647"/>
    <w:pPr>
      <w:widowControl w:val="off"/>
    </w:pPr>
    <w:rPr>
      <w:rFonts w:ascii="Calibri" w:hAnsi="Calibri" w:cs="Calibri"/>
      <w:b/>
      <w:sz w:val="22"/>
      <w:szCs w:val="22"/>
      <w:lang w:val="ru-RU" w:eastAsia="ru-RU" w:bidi="ar-SA"/>
    </w:rPr>
  </w:style>
  <w:style w:type="character" w:styleId="797" w:default="1">
    <w:name w:val="Default Paragraph Font"/>
    <w:uiPriority w:val="1"/>
    <w:semiHidden/>
    <w:unhideWhenUsed/>
  </w:style>
  <w:style w:type="numbering" w:styleId="798" w:default="1">
    <w:name w:val="No List"/>
    <w:uiPriority w:val="99"/>
    <w:semiHidden/>
    <w:unhideWhenUsed/>
  </w:style>
  <w:style w:type="table" w:styleId="799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Relationship Id="rId10" Type="http://schemas.openxmlformats.org/officeDocument/2006/relationships/footer" Target="footer2.xml" /><Relationship Id="rId11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ano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user</dc:creator>
  <cp:revision>3</cp:revision>
  <dcterms:created xsi:type="dcterms:W3CDTF">2024-04-04T09:48:00Z</dcterms:created>
  <dcterms:modified xsi:type="dcterms:W3CDTF">2024-11-06T10:51:25Z</dcterms:modified>
  <cp:version>1048576</cp:version>
</cp:coreProperties>
</file>